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ЛАБОРАТОРНОЙ РАБОТЕ №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/>
    </w:p>
    <w:p>
      <w:pPr>
        <w:pStyle w:val="81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Создание и настройка роли DNS на основном контроллере домена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</w:r>
      <w:r/>
    </w:p>
    <w:p>
      <w:pPr>
        <w:pStyle w:val="891"/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добавлять и настраивать роль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DNS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сервере.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Задание:</w:t>
      </w:r>
      <w:r>
        <w:rPr>
          <w:b/>
          <w:bCs w:val="0"/>
          <w:i/>
          <w:i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Создайте и настройте роли DNS на основном контроллере домена</w:t>
      </w:r>
      <w:r>
        <w:rPr>
          <w:b w:val="0"/>
          <w:bCs w:val="0"/>
          <w:i w:val="0"/>
          <w:iCs w:val="0"/>
          <w:sz w:val="28"/>
          <w:szCs w:val="24"/>
        </w:rPr>
        <w:t xml:space="preserve">.</w:t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30"/>
        </w:rPr>
        <w:t xml:space="preserve">В диспетчере серверов выбрать пункт «Добавить роли и компоненты».</w:t>
      </w:r>
      <w:r>
        <w:rPr>
          <w:color w:val="000000" w:themeColor="text1"/>
          <w:sz w:val="28"/>
          <w:szCs w:val="28"/>
        </w:rPr>
        <w:t xml:space="preserve"> </w:t>
      </w:r>
      <w:r>
        <w:rPr>
          <w:b w:val="0"/>
          <w:bCs w:val="0"/>
          <w:i w:val="0"/>
          <w:iCs w:val="0"/>
          <w:sz w:val="28"/>
          <w:szCs w:val="24"/>
        </w:rPr>
        <w:t xml:space="preserve"> </w:t>
      </w:r>
      <w:r>
        <w:rPr>
          <w:b w:val="0"/>
          <w:bCs w:val="0"/>
          <w:i w:val="0"/>
          <w:iCs w:val="0"/>
          <w:sz w:val="28"/>
          <w:szCs w:val="24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30"/>
        </w:rPr>
        <w:t xml:space="preserve">В открывшемся окне мастера нажать далее.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Выбрать пункт: «Установка ролей и компонентов».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</w:rPr>
        <w:t xml:space="preserve">Выбрать сервер из списка.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color w:val="000000"/>
          <w:sz w:val="28"/>
          <w:szCs w:val="30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30"/>
        </w:rPr>
        <w:t xml:space="preserve">Выбрать роль «DNS-сервер».</w:t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</w:rPr>
      </w:r>
      <w:r>
        <w:rPr>
          <w:color w:val="000000" w:themeColor="text1"/>
          <w:sz w:val="28"/>
          <w:szCs w:val="30"/>
        </w:rPr>
        <w:t xml:space="preserve">В появившемся окне предлагают установить необходимые для продолжения компоненты. Нажать «Добавить компоненты».</w:t>
      </w:r>
      <w:r/>
    </w:p>
    <w:p>
      <w:pPr>
        <w:pStyle w:val="905"/>
        <w:numPr>
          <w:ilvl w:val="0"/>
          <w:numId w:val="29"/>
        </w:numPr>
        <w:ind w:left="0" w:right="0" w:firstLine="709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 w:themeColor="text1"/>
          <w:sz w:val="28"/>
          <w:szCs w:val="30"/>
        </w:rPr>
        <w:t xml:space="preserve">7. В окне выбора компонентов нажать «Далее», поскольку необходимые компоненты были выбраны в предыдущем пункте.</w:t>
      </w:r>
      <w:r>
        <w:rPr>
          <w:color w:val="000000"/>
          <w:sz w:val="28"/>
          <w:szCs w:val="30"/>
        </w:rPr>
      </w:r>
      <w:r/>
    </w:p>
    <w:p>
      <w:pPr>
        <w:pStyle w:val="905"/>
        <w:numPr>
          <w:ilvl w:val="0"/>
          <w:numId w:val="29"/>
        </w:numPr>
        <w:ind w:left="0" w:right="0" w:firstLine="709"/>
        <w:jc w:val="both"/>
        <w:spacing w:before="0" w:beforeAutospacing="0" w:after="0" w:afterAutospacing="0"/>
        <w:shd w:val="clear" w:color="auto" w:fill="ffffff"/>
        <w:rPr>
          <w:color w:val="000000"/>
          <w:lang w:val="en-US"/>
        </w:rPr>
      </w:pPr>
      <w:r>
        <w:rPr>
          <w:color w:val="000000" w:themeColor="text1"/>
          <w:sz w:val="28"/>
          <w:szCs w:val="30"/>
        </w:rPr>
        <w:t xml:space="preserve">9. В следующем окне приведена краткая информация о роли DNS — сервера. Ознакомиться с ней и нажать «Далее».</w:t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Выбрать пункт «Завершение настройки DHCP», для того чтобы настроить сервер DHCP.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Появляется уведомление о том, что далее будут созданы две локальные группы безопасности для управления доступом к серверу DHCP, а затем будет произведена авторизация сервера DHCP в </w:t>
      </w:r>
      <w:r>
        <w:rPr>
          <w:color w:val="000000" w:themeColor="text1"/>
          <w:sz w:val="28"/>
          <w:szCs w:val="28"/>
        </w:rPr>
        <w:t xml:space="preserve">Active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Directory</w:t>
      </w:r>
      <w:r>
        <w:rPr>
          <w:color w:val="000000" w:themeColor="text1"/>
          <w:sz w:val="28"/>
          <w:szCs w:val="28"/>
        </w:rPr>
        <w:t xml:space="preserve">. Нажать кнопку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 разделе «Авторизация», в пункте «Использовать учетные данные следующего пользователя» указываем учетную запись с правами администратора домена. Нажать на кнопку «Фиксировать».</w:t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tabs>
          <w:tab w:val="left" w:pos="425" w:leader="none"/>
          <w:tab w:val="clear" w:pos="708" w:leader="none"/>
          <w:tab w:val="clear" w:pos="993" w:leader="none"/>
        </w:tabs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30"/>
        </w:rPr>
        <w:t xml:space="preserve">Ознакомиться со списком устанавливаемых  компонентов и нажать «Установить».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По окончании установки, закрыть мастер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contextualSpacing w:val="0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 диспетчере серверов, в пункте «Средства», выбрать DNS.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 открывшемся диспетчере DNS видно созданный сервер.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На группе «Зоны прямого просмотра» щелчком правой кнопкой мыши вызвать контекстное меню и выбрать «Создать новую зону».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 открывшемся мастере, нажать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тип зоны — «Основная».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область репликации.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 Ввести имя зоны.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настройки динамического обновления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По завершении работы, мастер выведет сообщение, что зона создана.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Также нужно создать узел в этой </w:t>
      </w:r>
      <w:r>
        <w:rPr>
          <w:color w:val="000000" w:themeColor="text1"/>
          <w:sz w:val="28"/>
          <w:szCs w:val="30"/>
        </w:rPr>
        <w:t xml:space="preserve">зоне</w:t>
      </w:r>
      <w:r>
        <w:rPr>
          <w:color w:val="000000" w:themeColor="text1"/>
          <w:sz w:val="28"/>
          <w:szCs w:val="30"/>
        </w:rPr>
        <w:t xml:space="preserve"> например, текущий сервер. Для этого, щелкнуть правой кнопкой мыши в зоне и нажать — «Создать узел (А или АААА)…»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Ввести имя узла и его адрес и нажать «Добавить узел». </w:t>
      </w:r>
      <w:r>
        <w:rPr>
          <w:color w:val="000000" w:themeColor="text1"/>
          <w:sz w:val="28"/>
          <w:szCs w:val="30"/>
        </w:rPr>
        <w:t xml:space="preserve">Также нужно создать зону обратного просмотра. Мастер запускается аналогичным образом.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30"/>
        </w:rPr>
        <w:t xml:space="preserve">В открывшемся мастере, нажать «Далее».</w:t>
      </w:r>
      <w:r>
        <w:rPr>
          <w:color w:val="000000" w:themeColor="text1"/>
          <w:sz w:val="28"/>
          <w:szCs w:val="28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тип зоны — «Основная».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область репликации.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тип зоны обратного просмотра IPv4.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Задать идентификатор текущей сети.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Выбрать настройки обновления.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Завершить работу мастера, нажав «Готово».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numPr>
          <w:ilvl w:val="0"/>
          <w:numId w:val="29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30"/>
          <w:highlight w:val="none"/>
        </w:rPr>
      </w:r>
      <w:r>
        <w:rPr>
          <w:color w:val="000000" w:themeColor="text1"/>
          <w:sz w:val="28"/>
          <w:szCs w:val="30"/>
        </w:rPr>
        <w:t xml:space="preserve">Проверить корректность настройки, можно введя в командной строке команду </w:t>
      </w:r>
      <w:r>
        <w:rPr>
          <w:rStyle w:val="906"/>
          <w:rFonts w:eastAsiaTheme="majorEastAsia"/>
          <w:color w:val="000000" w:themeColor="text1"/>
          <w:sz w:val="28"/>
          <w:szCs w:val="30"/>
        </w:rPr>
        <w:t xml:space="preserve">nslookup</w:t>
      </w:r>
      <w:r>
        <w:rPr>
          <w:rStyle w:val="906"/>
          <w:rFonts w:eastAsiaTheme="majorEastAsia"/>
          <w:color w:val="000000" w:themeColor="text1"/>
          <w:sz w:val="28"/>
          <w:szCs w:val="30"/>
        </w:rPr>
        <w:t xml:space="preserve"> &lt;IP-адрес&gt;</w:t>
      </w:r>
      <w:r>
        <w:rPr>
          <w:color w:val="000000" w:themeColor="text1"/>
          <w:sz w:val="28"/>
          <w:szCs w:val="30"/>
          <w:highlight w:val="none"/>
        </w:rPr>
      </w:r>
      <w:r/>
    </w:p>
    <w:p>
      <w:pPr>
        <w:pStyle w:val="891"/>
        <w:ind w:left="0" w:right="0" w:firstLine="0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В ходе предыдущей практической мастер установки компонентов сам запросил установку DNS-сервера, поэтому он у меня уже установлен (рис. 1).</w:t>
      </w:r>
      <w:r/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70627" cy="996225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55372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570627" cy="996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81.2pt;height:78.4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 – Установленный компонент DNS-сервер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Зайдя в DNS и выбрав зоны прямого просмотра (рис. 2), была создана новая основная зона «labserver.loc» (рис. 3-7). 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983408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550486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983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8pt;height:77.4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2 – Зоны прямого просмотра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48200" cy="320992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28809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48199" cy="3209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66.0pt;height:252.8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3 – Выбор типа зоны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00575" cy="2924175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51415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00575" cy="2924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62.2pt;height:230.2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4 – Выбор области репликации 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250" cy="2609850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35743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7249" cy="2609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67.5pt;height:205.5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5 – Имя зоны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24375" cy="2905125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4552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24374" cy="2905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356.2pt;height:228.8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6 – Динамическое обновление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95600" cy="2524125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6703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895599" cy="252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28.0pt;height:198.8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7 – Созданная зона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850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Затем в этой зоне был создан новый узел с именем «www» и адресом 10.0.2.15 (рис. 8).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33725" cy="2514600"/>
                <wp:effectExtent l="0" t="0" r="0" b="0"/>
                <wp:docPr id="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33550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133724" cy="2514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246.8pt;height:198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8 – Создание нового узла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А также аналогично зоне прямого просмотра была создана зона обратного просмотра с идентификатором сети 10.0.2 (рис. 9-11).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10075" cy="2543175"/>
                <wp:effectExtent l="0" t="0" r="0" b="0"/>
                <wp:docPr id="9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686482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410074" cy="2543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347.2pt;height:200.2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9 – Создание зоны обратного просмотра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57700" cy="2857500"/>
                <wp:effectExtent l="0" t="0" r="0" b="0"/>
                <wp:docPr id="10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958607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457700" cy="285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351.0pt;height:225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10 – Идентификатор сети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28925" cy="2571750"/>
                <wp:effectExtent l="0" t="0" r="0" b="0"/>
                <wp:docPr id="1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865264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828925" cy="257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222.8pt;height:202.5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11 – Созданная зона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По результатам проверки (рис. 12) всё работает корректно.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941977" cy="1721208"/>
                <wp:effectExtent l="0" t="0" r="0" b="0"/>
                <wp:docPr id="1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4445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0" flipV="0">
                          <a:off x="0" y="0"/>
                          <a:ext cx="2941977" cy="1721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231.7pt;height:135.5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12 – Проверка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iberation Sans">
    <w:panose1 w:val="020B0604020202020204"/>
  </w:font>
  <w:font w:name="OpenSymbol">
    <w:panose1 w:val="05010000000000000000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9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Calibr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>
    <w:name w:val="footnote reference"/>
    <w:basedOn w:val="850"/>
    <w:uiPriority w:val="99"/>
    <w:unhideWhenUsed/>
    <w:rPr>
      <w:vertAlign w:val="superscript"/>
    </w:rPr>
  </w:style>
  <w:style w:type="character" w:styleId="816">
    <w:name w:val="endnote reference"/>
    <w:basedOn w:val="850"/>
    <w:uiPriority w:val="99"/>
    <w:semiHidden/>
    <w:unhideWhenUsed/>
    <w:rPr>
      <w:vertAlign w:val="superscript"/>
    </w:rPr>
  </w:style>
  <w:style w:type="paragraph" w:styleId="81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18">
    <w:name w:val="Heading 1"/>
    <w:basedOn w:val="817"/>
    <w:qFormat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  <w:outlineLvl w:val="1"/>
    </w:pPr>
    <w:rPr>
      <w:rFonts w:ascii="Arial" w:hAnsi="Arial" w:cs="Times New Roman" w:eastAsia="Arial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</w:style>
  <w:style w:type="paragraph" w:styleId="819">
    <w:name w:val="Heading 2"/>
    <w:basedOn w:val="817"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820">
    <w:name w:val="Heading 3"/>
    <w:basedOn w:val="817"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21">
    <w:name w:val="Heading 4"/>
    <w:basedOn w:val="817"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22">
    <w:name w:val="Heading 5"/>
    <w:basedOn w:val="817"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23">
    <w:name w:val="Heading 6"/>
    <w:basedOn w:val="817"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24">
    <w:name w:val="Heading 7"/>
    <w:basedOn w:val="817"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25">
    <w:name w:val="Heading 8"/>
    <w:basedOn w:val="817"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26">
    <w:name w:val="Heading 9"/>
    <w:basedOn w:val="817"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27">
    <w:name w:val="Интернет-ссылка"/>
    <w:rPr>
      <w:color w:val="0000FF"/>
      <w:u w:val="single"/>
    </w:rPr>
  </w:style>
  <w:style w:type="character" w:styleId="828">
    <w:name w:val="Привязка сноски"/>
    <w:rPr>
      <w:vertAlign w:val="superscript"/>
    </w:rPr>
  </w:style>
  <w:style w:type="character" w:styleId="829">
    <w:name w:val="Footnote Characters"/>
    <w:basedOn w:val="850"/>
    <w:qFormat/>
    <w:rPr>
      <w:vertAlign w:val="superscript"/>
    </w:rPr>
  </w:style>
  <w:style w:type="character" w:styleId="830">
    <w:name w:val="Привязка концевой сноски"/>
    <w:rPr>
      <w:vertAlign w:val="superscript"/>
    </w:rPr>
  </w:style>
  <w:style w:type="character" w:styleId="831">
    <w:name w:val="Endnote Characters"/>
    <w:basedOn w:val="850"/>
    <w:qFormat/>
    <w:rPr>
      <w:vertAlign w:val="superscript"/>
    </w:rPr>
  </w:style>
  <w:style w:type="character" w:styleId="832">
    <w:name w:val="Heading 1 Char"/>
    <w:basedOn w:val="850"/>
    <w:qFormat/>
    <w:rPr>
      <w:rFonts w:ascii="Arial" w:hAnsi="Arial" w:cs="Arial" w:eastAsia="Arial"/>
      <w:sz w:val="40"/>
      <w:szCs w:val="40"/>
    </w:rPr>
  </w:style>
  <w:style w:type="character" w:styleId="833">
    <w:name w:val="Heading 2 Char"/>
    <w:basedOn w:val="850"/>
    <w:qFormat/>
    <w:rPr>
      <w:rFonts w:ascii="Arial" w:hAnsi="Arial" w:cs="Arial" w:eastAsia="Arial"/>
      <w:sz w:val="34"/>
    </w:rPr>
  </w:style>
  <w:style w:type="character" w:styleId="834">
    <w:name w:val="Heading 3 Char"/>
    <w:basedOn w:val="850"/>
    <w:qFormat/>
    <w:rPr>
      <w:rFonts w:ascii="Arial" w:hAnsi="Arial" w:cs="Arial" w:eastAsia="Arial"/>
      <w:sz w:val="30"/>
      <w:szCs w:val="30"/>
    </w:rPr>
  </w:style>
  <w:style w:type="character" w:styleId="835">
    <w:name w:val="Heading 4 Char"/>
    <w:basedOn w:val="850"/>
    <w:qFormat/>
    <w:rPr>
      <w:rFonts w:ascii="Arial" w:hAnsi="Arial" w:cs="Arial" w:eastAsia="Arial"/>
      <w:b/>
      <w:bCs/>
      <w:sz w:val="26"/>
      <w:szCs w:val="26"/>
    </w:rPr>
  </w:style>
  <w:style w:type="character" w:styleId="836">
    <w:name w:val="Heading 5 Char"/>
    <w:basedOn w:val="850"/>
    <w:qFormat/>
    <w:rPr>
      <w:rFonts w:ascii="Arial" w:hAnsi="Arial" w:cs="Arial" w:eastAsia="Arial"/>
      <w:b/>
      <w:bCs/>
      <w:sz w:val="24"/>
      <w:szCs w:val="24"/>
    </w:rPr>
  </w:style>
  <w:style w:type="character" w:styleId="837">
    <w:name w:val="Heading 6 Char"/>
    <w:basedOn w:val="850"/>
    <w:qFormat/>
    <w:rPr>
      <w:rFonts w:ascii="Arial" w:hAnsi="Arial" w:cs="Arial" w:eastAsia="Arial"/>
      <w:b/>
      <w:bCs/>
      <w:sz w:val="22"/>
      <w:szCs w:val="22"/>
    </w:rPr>
  </w:style>
  <w:style w:type="character" w:styleId="838">
    <w:name w:val="Heading 7 Char"/>
    <w:basedOn w:val="850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39">
    <w:name w:val="Heading 8 Char"/>
    <w:basedOn w:val="850"/>
    <w:qFormat/>
    <w:rPr>
      <w:rFonts w:ascii="Arial" w:hAnsi="Arial" w:cs="Arial" w:eastAsia="Arial"/>
      <w:i/>
      <w:iCs/>
      <w:sz w:val="22"/>
      <w:szCs w:val="22"/>
    </w:rPr>
  </w:style>
  <w:style w:type="character" w:styleId="840">
    <w:name w:val="Heading 9 Char"/>
    <w:basedOn w:val="850"/>
    <w:qFormat/>
    <w:rPr>
      <w:rFonts w:ascii="Arial" w:hAnsi="Arial" w:cs="Arial" w:eastAsia="Arial"/>
      <w:i/>
      <w:iCs/>
      <w:sz w:val="21"/>
      <w:szCs w:val="21"/>
    </w:rPr>
  </w:style>
  <w:style w:type="character" w:styleId="841">
    <w:name w:val="Title Char"/>
    <w:basedOn w:val="850"/>
    <w:qFormat/>
    <w:rPr>
      <w:sz w:val="48"/>
      <w:szCs w:val="48"/>
    </w:rPr>
  </w:style>
  <w:style w:type="character" w:styleId="842">
    <w:name w:val="Subtitle Char"/>
    <w:basedOn w:val="850"/>
    <w:qFormat/>
    <w:rPr>
      <w:sz w:val="24"/>
      <w:szCs w:val="24"/>
    </w:rPr>
  </w:style>
  <w:style w:type="character" w:styleId="843">
    <w:name w:val="Quote Char"/>
    <w:qFormat/>
    <w:rPr>
      <w:i/>
    </w:rPr>
  </w:style>
  <w:style w:type="character" w:styleId="844">
    <w:name w:val="Intense Quote Char"/>
    <w:qFormat/>
    <w:rPr>
      <w:i/>
    </w:rPr>
  </w:style>
  <w:style w:type="character" w:styleId="845">
    <w:name w:val="Header Char"/>
    <w:basedOn w:val="850"/>
    <w:qFormat/>
  </w:style>
  <w:style w:type="character" w:styleId="846">
    <w:name w:val="Footer Char"/>
    <w:basedOn w:val="850"/>
    <w:qFormat/>
  </w:style>
  <w:style w:type="character" w:styleId="847">
    <w:name w:val="Caption Char"/>
    <w:qFormat/>
  </w:style>
  <w:style w:type="character" w:styleId="848">
    <w:name w:val="Footnote Text Char"/>
    <w:qFormat/>
    <w:rPr>
      <w:sz w:val="18"/>
    </w:rPr>
  </w:style>
  <w:style w:type="character" w:styleId="849">
    <w:name w:val="Endnote Text Char"/>
    <w:qFormat/>
    <w:rPr>
      <w:sz w:val="20"/>
    </w:rPr>
  </w:style>
  <w:style w:type="character" w:styleId="850" w:default="1">
    <w:name w:val="Default Paragraph Font"/>
    <w:qFormat/>
  </w:style>
  <w:style w:type="character" w:styleId="851">
    <w:name w:val="Мой обычный Знак"/>
    <w:qFormat/>
    <w:rPr>
      <w:rFonts w:ascii="Times New Roman" w:hAnsi="Times New Roman"/>
      <w:b w:val="0"/>
      <w:i w:val="0"/>
      <w:sz w:val="28"/>
      <w:szCs w:val="24"/>
    </w:rPr>
  </w:style>
  <w:style w:type="character" w:styleId="852">
    <w:name w:val="Strong"/>
    <w:qFormat/>
    <w:rPr>
      <w:b/>
      <w:bCs/>
    </w:rPr>
  </w:style>
  <w:style w:type="character" w:styleId="853">
    <w:name w:val="Посещённая гиперссылка"/>
    <w:basedOn w:val="850"/>
    <w:rPr>
      <w:color w:val="954F72"/>
      <w:u w:val="single"/>
    </w:rPr>
  </w:style>
  <w:style w:type="character" w:styleId="854">
    <w:name w:val="Текст выноски Знак"/>
    <w:basedOn w:val="850"/>
    <w:qFormat/>
    <w:rPr>
      <w:rFonts w:ascii="Tahoma" w:hAnsi="Tahoma" w:cs="Tahoma"/>
      <w:sz w:val="16"/>
      <w:szCs w:val="16"/>
    </w:rPr>
  </w:style>
  <w:style w:type="character" w:styleId="855">
    <w:name w:val="annotation reference"/>
    <w:basedOn w:val="850"/>
    <w:qFormat/>
    <w:rPr>
      <w:sz w:val="16"/>
      <w:szCs w:val="16"/>
    </w:rPr>
  </w:style>
  <w:style w:type="character" w:styleId="856">
    <w:name w:val="Текст примечания Знак"/>
    <w:basedOn w:val="850"/>
    <w:qFormat/>
    <w:rPr>
      <w:sz w:val="20"/>
      <w:szCs w:val="20"/>
    </w:rPr>
  </w:style>
  <w:style w:type="character" w:styleId="857">
    <w:name w:val="Тема примечания Знак"/>
    <w:basedOn w:val="856"/>
    <w:qFormat/>
    <w:rPr>
      <w:b/>
      <w:bCs/>
      <w:sz w:val="20"/>
      <w:szCs w:val="20"/>
    </w:rPr>
  </w:style>
  <w:style w:type="character" w:styleId="858">
    <w:name w:val="Выделение"/>
    <w:qFormat/>
    <w:rPr>
      <w:i/>
      <w:iCs/>
    </w:rPr>
  </w:style>
  <w:style w:type="character" w:styleId="859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860">
    <w:name w:val="WW8Num9z1"/>
    <w:qFormat/>
  </w:style>
  <w:style w:type="character" w:styleId="861">
    <w:name w:val="Символ нумерации"/>
    <w:qFormat/>
  </w:style>
  <w:style w:type="character" w:styleId="862">
    <w:name w:val="Выделение жирным"/>
    <w:qFormat/>
    <w:rPr>
      <w:b/>
      <w:bCs/>
    </w:rPr>
  </w:style>
  <w:style w:type="character" w:styleId="863">
    <w:name w:val="Маркеры"/>
    <w:qFormat/>
    <w:rPr>
      <w:rFonts w:ascii="OpenSymbol" w:hAnsi="OpenSymbol" w:cs="OpenSymbol" w:eastAsia="OpenSymbol"/>
    </w:rPr>
  </w:style>
  <w:style w:type="paragraph" w:styleId="864">
    <w:name w:val="Заголовок"/>
    <w:basedOn w:val="817"/>
    <w:next w:val="865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865">
    <w:name w:val="Body Text"/>
    <w:basedOn w:val="817"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</w:style>
  <w:style w:type="paragraph" w:styleId="866">
    <w:name w:val="List"/>
    <w:basedOn w:val="865"/>
    <w:rPr>
      <w:rFonts w:cs="Noto Sans Devanagari"/>
    </w:rPr>
  </w:style>
  <w:style w:type="paragraph" w:styleId="867">
    <w:name w:val="Caption"/>
    <w:basedOn w:val="817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68">
    <w:name w:val="Указатель"/>
    <w:basedOn w:val="817"/>
    <w:qFormat/>
    <w:pPr>
      <w:suppressLineNumbers/>
    </w:pPr>
    <w:rPr>
      <w:rFonts w:cs="Noto Sans Devanagari"/>
    </w:rPr>
  </w:style>
  <w:style w:type="paragraph" w:styleId="869">
    <w:name w:val="List Paragraph"/>
    <w:basedOn w:val="817"/>
    <w:qFormat/>
    <w:pPr>
      <w:contextualSpacing/>
      <w:ind w:left="720" w:right="0" w:firstLine="0"/>
      <w:spacing w:before="0" w:after="160"/>
    </w:pPr>
  </w:style>
  <w:style w:type="paragraph" w:styleId="870">
    <w:name w:val="No Spacing"/>
    <w:qFormat/>
    <w:pPr>
      <w:jc w:val="left"/>
      <w:spacing w:before="0" w:after="0" w:line="240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71">
    <w:name w:val="Title"/>
    <w:basedOn w:val="817"/>
    <w:qFormat/>
    <w:pPr>
      <w:contextualSpacing/>
      <w:spacing w:before="300" w:after="200"/>
    </w:pPr>
    <w:rPr>
      <w:sz w:val="48"/>
      <w:szCs w:val="48"/>
    </w:rPr>
  </w:style>
  <w:style w:type="paragraph" w:styleId="872">
    <w:name w:val="Subtitle"/>
    <w:basedOn w:val="817"/>
    <w:qFormat/>
    <w:pPr>
      <w:spacing w:before="200" w:after="200"/>
    </w:pPr>
    <w:rPr>
      <w:sz w:val="24"/>
      <w:szCs w:val="24"/>
    </w:rPr>
  </w:style>
  <w:style w:type="paragraph" w:styleId="873">
    <w:name w:val="Quote"/>
    <w:basedOn w:val="817"/>
    <w:qFormat/>
    <w:pPr>
      <w:ind w:left="720" w:right="720" w:firstLine="0"/>
    </w:pPr>
    <w:rPr>
      <w:i/>
    </w:rPr>
  </w:style>
  <w:style w:type="paragraph" w:styleId="874">
    <w:name w:val="Intense Quote"/>
    <w:basedOn w:val="817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5">
    <w:name w:val="Колонтитул"/>
    <w:basedOn w:val="817"/>
    <w:qFormat/>
  </w:style>
  <w:style w:type="paragraph" w:styleId="876">
    <w:name w:val="Header"/>
    <w:basedOn w:val="81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7">
    <w:name w:val="Footer"/>
    <w:basedOn w:val="81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8">
    <w:name w:val="footnote text"/>
    <w:basedOn w:val="817"/>
    <w:pPr>
      <w:spacing w:before="0" w:after="40" w:line="240" w:lineRule="auto"/>
    </w:pPr>
    <w:rPr>
      <w:sz w:val="18"/>
    </w:rPr>
  </w:style>
  <w:style w:type="paragraph" w:styleId="879">
    <w:name w:val="endnote text"/>
    <w:basedOn w:val="817"/>
    <w:pPr>
      <w:spacing w:before="0" w:after="0" w:line="240" w:lineRule="auto"/>
    </w:pPr>
    <w:rPr>
      <w:sz w:val="20"/>
    </w:rPr>
  </w:style>
  <w:style w:type="paragraph" w:styleId="880">
    <w:name w:val="toc 1"/>
    <w:basedOn w:val="817"/>
    <w:pPr>
      <w:ind w:left="0" w:right="0" w:firstLine="0"/>
      <w:spacing w:before="0" w:after="57"/>
    </w:pPr>
  </w:style>
  <w:style w:type="paragraph" w:styleId="881">
    <w:name w:val="toc 2"/>
    <w:basedOn w:val="817"/>
    <w:pPr>
      <w:ind w:left="283" w:right="0" w:firstLine="0"/>
      <w:spacing w:before="0" w:after="57"/>
    </w:pPr>
  </w:style>
  <w:style w:type="paragraph" w:styleId="882">
    <w:name w:val="toc 3"/>
    <w:basedOn w:val="817"/>
    <w:pPr>
      <w:ind w:left="567" w:right="0" w:firstLine="0"/>
      <w:spacing w:before="0" w:after="57"/>
    </w:pPr>
  </w:style>
  <w:style w:type="paragraph" w:styleId="883">
    <w:name w:val="toc 4"/>
    <w:basedOn w:val="817"/>
    <w:pPr>
      <w:ind w:left="850" w:right="0" w:firstLine="0"/>
      <w:spacing w:before="0" w:after="57"/>
    </w:pPr>
  </w:style>
  <w:style w:type="paragraph" w:styleId="884">
    <w:name w:val="toc 5"/>
    <w:basedOn w:val="817"/>
    <w:pPr>
      <w:ind w:left="1134" w:right="0" w:firstLine="0"/>
      <w:spacing w:before="0" w:after="57"/>
    </w:pPr>
  </w:style>
  <w:style w:type="paragraph" w:styleId="885">
    <w:name w:val="toc 6"/>
    <w:basedOn w:val="817"/>
    <w:pPr>
      <w:ind w:left="1417" w:right="0" w:firstLine="0"/>
      <w:spacing w:before="0" w:after="57"/>
    </w:pPr>
  </w:style>
  <w:style w:type="paragraph" w:styleId="886">
    <w:name w:val="toc 7"/>
    <w:basedOn w:val="817"/>
    <w:pPr>
      <w:ind w:left="1701" w:right="0" w:firstLine="0"/>
      <w:spacing w:before="0" w:after="57"/>
    </w:pPr>
  </w:style>
  <w:style w:type="paragraph" w:styleId="887">
    <w:name w:val="toc 8"/>
    <w:basedOn w:val="817"/>
    <w:pPr>
      <w:ind w:left="1984" w:right="0" w:firstLine="0"/>
      <w:spacing w:before="0" w:after="57"/>
    </w:pPr>
  </w:style>
  <w:style w:type="paragraph" w:styleId="888">
    <w:name w:val="toc 9"/>
    <w:basedOn w:val="817"/>
    <w:pPr>
      <w:ind w:left="2268" w:right="0" w:firstLine="0"/>
      <w:spacing w:before="0" w:after="57"/>
    </w:pPr>
  </w:style>
  <w:style w:type="paragraph" w:styleId="889">
    <w:name w:val="TOC Heading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90">
    <w:name w:val="table of figures"/>
    <w:basedOn w:val="817"/>
    <w:qFormat/>
    <w:pPr>
      <w:spacing w:before="0" w:after="0"/>
    </w:pPr>
  </w:style>
  <w:style w:type="paragraph" w:styleId="891">
    <w:name w:val="Мой обычный"/>
    <w:basedOn w:val="817"/>
    <w:qFormat/>
    <w:pPr>
      <w:ind w:left="0" w:right="0" w:firstLine="709"/>
      <w:jc w:val="both"/>
      <w:spacing w:before="0" w:after="0" w:line="360" w:lineRule="auto"/>
      <w:tabs>
        <w:tab w:val="clear" w:pos="708" w:leader="none"/>
        <w:tab w:val="left" w:pos="993" w:leader="none"/>
      </w:tabs>
    </w:pPr>
    <w:rPr>
      <w:rFonts w:ascii="Times New Roman" w:hAnsi="Times New Roman"/>
      <w:b w:val="0"/>
      <w:i w:val="0"/>
      <w:sz w:val="28"/>
      <w:szCs w:val="24"/>
    </w:rPr>
  </w:style>
  <w:style w:type="paragraph" w:styleId="892">
    <w:name w:val="Balloon Text"/>
    <w:basedOn w:val="817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93">
    <w:name w:val="annotation text"/>
    <w:basedOn w:val="817"/>
    <w:qFormat/>
    <w:pPr>
      <w:spacing w:line="240" w:lineRule="auto"/>
    </w:pPr>
    <w:rPr>
      <w:sz w:val="20"/>
      <w:szCs w:val="20"/>
    </w:rPr>
  </w:style>
  <w:style w:type="paragraph" w:styleId="894">
    <w:name w:val="annotation subject"/>
    <w:basedOn w:val="893"/>
    <w:qFormat/>
    <w:rPr>
      <w:b/>
      <w:bCs/>
    </w:rPr>
  </w:style>
  <w:style w:type="paragraph" w:styleId="895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96">
    <w:name w:val="Table Paragraph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97">
    <w:name w:val="Абзац списка"/>
    <w:qFormat/>
    <w:pPr>
      <w:ind w:left="462" w:right="0" w:hanging="36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98">
    <w:name w:val="Обычный (веб)"/>
    <w:basedOn w:val="817"/>
    <w:qFormat/>
    <w:pPr>
      <w:spacing w:before="280" w:after="280"/>
    </w:pPr>
  </w:style>
  <w:style w:type="paragraph" w:styleId="899">
    <w:name w:val="НУМ_СПИСОК"/>
    <w:qFormat/>
    <w:pPr>
      <w:numPr>
        <w:ilvl w:val="0"/>
        <w:numId w:val="1"/>
      </w:numPr>
      <w:jc w:val="both"/>
      <w:keepLines/>
      <w:spacing w:before="0" w:after="160" w:line="259" w:lineRule="auto"/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</w:style>
  <w:style w:type="paragraph" w:styleId="900">
    <w:name w:val="Содержимое таблицы"/>
    <w:basedOn w:val="817"/>
    <w:qFormat/>
    <w:pPr>
      <w:widowControl w:val="off"/>
      <w:suppressLineNumbers/>
    </w:pPr>
  </w:style>
  <w:style w:type="paragraph" w:styleId="901">
    <w:name w:val="Заголовок таблицы"/>
    <w:basedOn w:val="900"/>
    <w:qFormat/>
    <w:pPr>
      <w:jc w:val="center"/>
      <w:suppressLineNumbers/>
    </w:pPr>
    <w:rPr>
      <w:b/>
      <w:bCs/>
    </w:rPr>
  </w:style>
  <w:style w:type="numbering" w:styleId="902" w:default="1">
    <w:name w:val="No List"/>
    <w:qFormat/>
  </w:style>
  <w:style w:type="numbering" w:styleId="903">
    <w:name w:val="WW8Num9"/>
    <w:qFormat/>
  </w:style>
  <w:style w:type="table" w:styleId="904" w:default="1">
    <w:name w:val="Normal Table"/>
    <w:uiPriority w:val="99"/>
    <w:semiHidden/>
    <w:unhideWhenUsed/>
    <w:tblPr/>
  </w:style>
  <w:style w:type="paragraph" w:styleId="905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90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31</cp:revision>
  <dcterms:created xsi:type="dcterms:W3CDTF">2021-02-06T12:59:00Z</dcterms:created>
  <dcterms:modified xsi:type="dcterms:W3CDTF">2022-04-06T18:18:57Z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