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ЛАБОРАТОРНОЙ РАБОТЕ №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/>
    </w:p>
    <w:p>
      <w:pPr>
        <w:pStyle w:val="88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Настройка параметров безопасности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Windows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Server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pStyle w:val="961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настраивать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через локальные политики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Windows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Server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6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6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Задание:</w:t>
      </w:r>
      <w:r>
        <w:rPr>
          <w:b/>
          <w:bCs w:val="0"/>
          <w:i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Настройте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через локальные политики безопасности:</w:t>
      </w:r>
      <w:r>
        <w:rPr>
          <w:b/>
          <w:bCs w:val="0"/>
          <w:i/>
          <w:iCs w:val="0"/>
          <w:sz w:val="28"/>
          <w:szCs w:val="24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 w:val="28"/>
          <w:szCs w:val="30"/>
        </w:rPr>
        <w:t xml:space="preserve">      </w:t>
      </w:r>
      <w:r>
        <w:rPr>
          <w:color w:val="000000" w:themeColor="text1"/>
          <w:sz w:val="28"/>
          <w:szCs w:val="30"/>
        </w:rPr>
        <w:t xml:space="preserve">Для просмотра и изменения параметров аутентификации пользователей выполните следующие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действия: </w:t>
      </w:r>
      <w:r>
        <w:rPr>
          <w:color w:val="000000" w:themeColor="text1"/>
          <w:sz w:val="28"/>
          <w:szCs w:val="30"/>
        </w:rPr>
        <w:t xml:space="preserve">Диспетчер серверов → </w:t>
      </w:r>
      <w:r>
        <w:rPr>
          <w:color w:val="000000" w:themeColor="text1"/>
          <w:sz w:val="28"/>
          <w:szCs w:val="30"/>
        </w:rPr>
        <w:t xml:space="preserve">Средства </w:t>
      </w:r>
      <w:r>
        <w:rPr>
          <w:color w:val="000000" w:themeColor="text1"/>
          <w:sz w:val="28"/>
          <w:szCs w:val="30"/>
        </w:rPr>
        <w:t xml:space="preserve">→ Управление групповой политикой → Лес</w:t>
      </w:r>
      <w:r>
        <w:rPr>
          <w:color w:val="000000" w:themeColor="text1"/>
          <w:sz w:val="28"/>
          <w:szCs w:val="30"/>
        </w:rPr>
        <w:t xml:space="preserve"> → </w:t>
      </w:r>
      <w:r>
        <w:rPr>
          <w:color w:val="000000" w:themeColor="text1"/>
          <w:sz w:val="28"/>
          <w:szCs w:val="30"/>
        </w:rPr>
        <w:t xml:space="preserve">Домены</w:t>
      </w:r>
      <w:r>
        <w:rPr>
          <w:color w:val="000000" w:themeColor="text1"/>
          <w:sz w:val="28"/>
          <w:szCs w:val="30"/>
        </w:rPr>
        <w:t xml:space="preserve"> → </w:t>
      </w:r>
      <w:r>
        <w:rPr>
          <w:color w:val="000000" w:themeColor="text1"/>
          <w:sz w:val="28"/>
          <w:szCs w:val="30"/>
        </w:rPr>
        <w:t xml:space="preserve">Имя домена</w:t>
      </w:r>
      <w:r>
        <w:rPr>
          <w:color w:val="000000" w:themeColor="text1"/>
          <w:sz w:val="28"/>
          <w:szCs w:val="30"/>
        </w:rPr>
        <w:t xml:space="preserve"> → </w:t>
      </w:r>
      <w:r>
        <w:rPr>
          <w:color w:val="000000" w:themeColor="text1"/>
          <w:sz w:val="28"/>
          <w:szCs w:val="30"/>
        </w:rPr>
        <w:t xml:space="preserve">Объекты групповой политики → </w:t>
      </w:r>
      <w:r>
        <w:rPr>
          <w:color w:val="000000" w:themeColor="text1"/>
          <w:sz w:val="28"/>
          <w:szCs w:val="30"/>
        </w:rPr>
        <w:t xml:space="preserve">Default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Domain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Controllers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Policy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→</w:t>
      </w:r>
      <w:r>
        <w:rPr>
          <w:color w:val="000000" w:themeColor="text1"/>
          <w:sz w:val="28"/>
          <w:szCs w:val="30"/>
        </w:rPr>
        <w:t xml:space="preserve"> ПКМ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→</w:t>
      </w:r>
      <w:r>
        <w:rPr>
          <w:color w:val="000000" w:themeColor="text1"/>
          <w:sz w:val="28"/>
          <w:szCs w:val="30"/>
        </w:rPr>
        <w:t xml:space="preserve"> И</w:t>
      </w:r>
      <w:r>
        <w:rPr>
          <w:color w:val="000000" w:themeColor="text1"/>
          <w:sz w:val="28"/>
          <w:szCs w:val="30"/>
        </w:rPr>
        <w:t xml:space="preserve">зменить </w:t>
      </w:r>
      <w:r>
        <w:rPr>
          <w:color w:val="000000" w:themeColor="text1"/>
          <w:sz w:val="28"/>
          <w:szCs w:val="30"/>
        </w:rPr>
        <w:t xml:space="preserve">→</w:t>
      </w:r>
      <w:r>
        <w:rPr>
          <w:color w:val="000000" w:themeColor="text1"/>
          <w:sz w:val="28"/>
          <w:szCs w:val="30"/>
        </w:rPr>
        <w:t xml:space="preserve"> Конфигурация компьютера </w:t>
      </w:r>
      <w:r>
        <w:rPr>
          <w:color w:val="000000" w:themeColor="text1"/>
          <w:sz w:val="28"/>
          <w:szCs w:val="30"/>
        </w:rPr>
        <w:t xml:space="preserve">→</w:t>
      </w:r>
      <w:r>
        <w:rPr>
          <w:color w:val="000000" w:themeColor="text1"/>
          <w:sz w:val="28"/>
          <w:szCs w:val="30"/>
        </w:rPr>
        <w:t xml:space="preserve"> Политики </w:t>
      </w:r>
      <w:r>
        <w:rPr>
          <w:color w:val="000000" w:themeColor="text1"/>
          <w:sz w:val="28"/>
          <w:szCs w:val="30"/>
        </w:rPr>
        <w:t xml:space="preserve">→</w:t>
      </w:r>
      <w:r>
        <w:rPr>
          <w:color w:val="000000" w:themeColor="text1"/>
          <w:sz w:val="28"/>
          <w:szCs w:val="30"/>
        </w:rPr>
        <w:t xml:space="preserve"> Конфигурация </w:t>
      </w:r>
      <w:r>
        <w:rPr>
          <w:color w:val="000000" w:themeColor="text1"/>
          <w:sz w:val="28"/>
          <w:szCs w:val="30"/>
          <w:lang w:val="en-US"/>
        </w:rPr>
        <w:t xml:space="preserve">Windows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→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Параметры безопасности</w:t>
      </w:r>
      <w:r>
        <w:rPr>
          <w:color w:val="000000" w:themeColor="text1"/>
          <w:sz w:val="28"/>
          <w:szCs w:val="30"/>
        </w:rPr>
        <w:t xml:space="preserve">.</w:t>
      </w:r>
      <w:r>
        <w:rPr>
          <w:color w:val="000000"/>
          <w:sz w:val="28"/>
          <w:szCs w:val="30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Выберите пункт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Политика учетных записей</w:t>
      </w:r>
      <w:r>
        <w:rPr>
          <w:sz w:val="28"/>
          <w:szCs w:val="28"/>
        </w:rPr>
        <w:t xml:space="preserve">». Э</w:t>
      </w:r>
      <w:r>
        <w:rPr>
          <w:sz w:val="28"/>
          <w:szCs w:val="28"/>
        </w:rPr>
        <w:t xml:space="preserve">тот пун</w:t>
      </w:r>
      <w:r>
        <w:rPr>
          <w:sz w:val="28"/>
          <w:szCs w:val="28"/>
        </w:rPr>
        <w:t xml:space="preserve">кт вкл</w:t>
      </w:r>
      <w:r>
        <w:rPr>
          <w:sz w:val="28"/>
          <w:szCs w:val="28"/>
        </w:rPr>
        <w:t xml:space="preserve">ючает </w:t>
      </w:r>
      <w:r>
        <w:rPr>
          <w:sz w:val="28"/>
          <w:szCs w:val="28"/>
        </w:rPr>
        <w:t xml:space="preserve">три</w:t>
      </w:r>
      <w:r>
        <w:rPr>
          <w:sz w:val="28"/>
          <w:szCs w:val="28"/>
        </w:rPr>
        <w:t xml:space="preserve"> подпункта: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Политика паролей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Политика блокировки учетной записи</w:t>
      </w:r>
      <w:r>
        <w:rPr>
          <w:sz w:val="28"/>
          <w:szCs w:val="28"/>
        </w:rPr>
        <w:t xml:space="preserve">» и «</w:t>
      </w:r>
      <w:r>
        <w:rPr>
          <w:sz w:val="28"/>
          <w:szCs w:val="28"/>
        </w:rPr>
        <w:t xml:space="preserve">Политика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Kerberos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Откройте подпункт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Политика паролей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В правом окне появится список настраиваемых параметров.</w:t>
      </w:r>
      <w:r>
        <w:rPr>
          <w:sz w:val="28"/>
          <w:szCs w:val="28"/>
        </w:rPr>
        <w:t xml:space="preserve"> Изначально все параметры </w:t>
      </w:r>
      <w:r>
        <w:rPr>
          <w:sz w:val="28"/>
          <w:szCs w:val="28"/>
        </w:rPr>
        <w:t xml:space="preserve">соответств</w:t>
      </w:r>
      <w:r>
        <w:rPr>
          <w:sz w:val="28"/>
          <w:szCs w:val="28"/>
        </w:rPr>
        <w:t xml:space="preserve">ует исходному состоянию системы </w:t>
      </w:r>
      <w:r>
        <w:rPr>
          <w:sz w:val="28"/>
          <w:szCs w:val="28"/>
        </w:rPr>
        <w:t xml:space="preserve">безопасности после установки операционной системы, при этом ни один из параметров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настроен.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Ознакомитесь со свойствами </w:t>
      </w:r>
      <w:r>
        <w:rPr>
          <w:sz w:val="28"/>
          <w:szCs w:val="28"/>
        </w:rPr>
        <w:t xml:space="preserve">и описанием всех параметров.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Для изменения требуемого параметра выделите его и вызови</w:t>
      </w:r>
      <w:r>
        <w:rPr>
          <w:sz w:val="28"/>
          <w:szCs w:val="28"/>
        </w:rPr>
        <w:t xml:space="preserve">те его свойства из контекстного </w:t>
      </w:r>
      <w:r>
        <w:rPr>
          <w:sz w:val="28"/>
          <w:szCs w:val="28"/>
        </w:rPr>
        <w:t xml:space="preserve">меню после нажатия правой кнопки мыши (или дважды щёлкните на изменяемом параметре).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Измените, значение параметра и нажмите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 (обязательно выполнить </w:t>
      </w:r>
      <w:r>
        <w:rPr>
          <w:sz w:val="28"/>
          <w:szCs w:val="28"/>
        </w:rPr>
        <w:t xml:space="preserve">и сохранить), выберите параметр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Требовать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неповторяемости</w:t>
      </w:r>
      <w:r>
        <w:rPr>
          <w:sz w:val="28"/>
          <w:szCs w:val="28"/>
        </w:rPr>
        <w:t xml:space="preserve"> пароле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измените его значение на 1.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Для настройки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Политики блокировки учетной записи</w:t>
      </w:r>
      <w:r>
        <w:rPr>
          <w:sz w:val="28"/>
          <w:szCs w:val="28"/>
        </w:rPr>
        <w:t xml:space="preserve">»</w:t>
      </w:r>
      <w:bookmarkStart w:id="0" w:name="_GoBack"/>
      <w:r/>
      <w:bookmarkEnd w:id="0"/>
      <w:r>
        <w:rPr>
          <w:sz w:val="28"/>
          <w:szCs w:val="28"/>
        </w:rPr>
        <w:t xml:space="preserve"> выберите этот подпункт и откройте его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Ознакомитесь со свойствами </w:t>
      </w:r>
      <w:r>
        <w:rPr>
          <w:sz w:val="28"/>
          <w:szCs w:val="28"/>
        </w:rPr>
        <w:t xml:space="preserve">и описанием </w:t>
      </w:r>
      <w:r>
        <w:rPr>
          <w:sz w:val="28"/>
          <w:szCs w:val="28"/>
        </w:rPr>
        <w:t xml:space="preserve">всех параметров.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Измените параметр «Пароль должен отвечать требованиям сложности» Политики паролей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«Включен» и после этого попробуйте </w:t>
      </w:r>
      <w:r>
        <w:rPr>
          <w:sz w:val="28"/>
          <w:szCs w:val="28"/>
        </w:rPr>
        <w:t xml:space="preserve">изменить пароль своей учетной записи.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Зафиксируйте все сообщения системы, проанализируйте и введите допустимый пароль. 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sz w:val="28"/>
          <w:szCs w:val="28"/>
        </w:rPr>
        <w:t xml:space="preserve">После успешного выполнения </w:t>
      </w:r>
      <w:r>
        <w:rPr>
          <w:sz w:val="28"/>
          <w:szCs w:val="28"/>
        </w:rPr>
        <w:t xml:space="preserve">предыдущего пункта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измените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ароль учетной записи, а в </w:t>
      </w:r>
      <w:r>
        <w:rPr>
          <w:sz w:val="28"/>
          <w:szCs w:val="28"/>
        </w:rPr>
        <w:t xml:space="preserve">качестве нового пароля укажите прежний пароль. Все сообщения зафиксируйте, проанализируйте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объясните поведение системы безопасности.</w:t>
      </w:r>
      <w:r>
        <w:rPr>
          <w:sz w:val="28"/>
          <w:szCs w:val="28"/>
        </w:rPr>
      </w:r>
      <w:r/>
    </w:p>
    <w:p>
      <w:pPr>
        <w:pStyle w:val="975"/>
        <w:numPr>
          <w:ilvl w:val="0"/>
          <w:numId w:val="62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</w:pPr>
      <w:r>
        <w:rPr>
          <w:sz w:val="28"/>
          <w:szCs w:val="28"/>
        </w:rPr>
        <w:t xml:space="preserve">Проведите эксперименты с другими параметрами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Политики учетных записей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75"/>
        <w:ind w:left="0" w:right="0" w:firstLine="0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6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Войдя в редактор управления групповыми политиками, и изменив параметры политики паролей (рис. 1):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numPr>
          <w:ilvl w:val="0"/>
          <w:numId w:val="63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Аудит минимальной длинны пароля – 5 символов,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numPr>
          <w:ilvl w:val="0"/>
          <w:numId w:val="63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Вести журнал паролей – 6 сохранённых паролей,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numPr>
          <w:ilvl w:val="0"/>
          <w:numId w:val="63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Минимальная длинна пароля – 4 значения,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numPr>
          <w:ilvl w:val="0"/>
          <w:numId w:val="63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Требования сложности.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После чего, при попытке сменить пароль на «1234», система выводит ошибку (рис. 2). Но если ввести надёжный пароль, он сохранится.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При попытке поменять пароль на прежний, система выведет ошибку (рис. 3).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Также, если ввести пароль длинной менее 4 символов, операционная система не пропустит данный пароль и выведет ошибку (рис. 4).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180975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5298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53099" cy="1809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3.0pt;height:142.5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 – Политика паролей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  <w:highlight w:val="none"/>
        </w:rPr>
      </w:r>
      <w:r>
        <w:rPr>
          <w:b/>
          <w:i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38575" cy="177165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24931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38574" cy="177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02.2pt;height:139.5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2 – Ошибка смены пароля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  <w:highlight w:val="none"/>
        </w:rPr>
      </w:r>
      <w:r>
        <w:rPr>
          <w:b/>
          <w:i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90950" cy="141922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400729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790949" cy="141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98.5pt;height:111.8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3 – Изменение пароля на прежний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  <w:highlight w:val="none"/>
        </w:rPr>
      </w:r>
      <w:r>
        <w:rPr>
          <w:b/>
          <w:i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71900" cy="1714500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84622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771900" cy="17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97.0pt;height:135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61"/>
        <w:ind w:left="0" w:right="0" w:firstLine="0"/>
        <w:jc w:val="center"/>
        <w:rPr>
          <w:b/>
          <w:i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4 – Ошибка при вводе короткого пароля</w:t>
      </w:r>
      <w:r>
        <w:rPr>
          <w:b w:val="0"/>
          <w:i w:val="0"/>
          <w:sz w:val="28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OpenSymbol">
    <w:panose1 w:val="05010000000000000000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69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Calibr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character" w:styleId="885">
    <w:name w:val="footnote reference"/>
    <w:basedOn w:val="920"/>
    <w:uiPriority w:val="99"/>
    <w:unhideWhenUsed/>
    <w:rPr>
      <w:vertAlign w:val="superscript"/>
    </w:rPr>
  </w:style>
  <w:style w:type="character" w:styleId="886">
    <w:name w:val="endnote reference"/>
    <w:basedOn w:val="920"/>
    <w:uiPriority w:val="99"/>
    <w:semiHidden/>
    <w:unhideWhenUsed/>
    <w:rPr>
      <w:vertAlign w:val="superscript"/>
    </w:rPr>
  </w:style>
  <w:style w:type="paragraph" w:styleId="88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88">
    <w:name w:val="Heading 1"/>
    <w:basedOn w:val="887"/>
    <w:qFormat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  <w:outlineLvl w:val="1"/>
    </w:pPr>
    <w:rPr>
      <w:rFonts w:ascii="Arial" w:hAnsi="Arial" w:cs="Times New Roman" w:eastAsia="Arial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</w:style>
  <w:style w:type="paragraph" w:styleId="889">
    <w:name w:val="Heading 2"/>
    <w:basedOn w:val="887"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890">
    <w:name w:val="Heading 3"/>
    <w:basedOn w:val="887"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91">
    <w:name w:val="Heading 4"/>
    <w:basedOn w:val="887"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92">
    <w:name w:val="Heading 5"/>
    <w:basedOn w:val="887"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93">
    <w:name w:val="Heading 6"/>
    <w:basedOn w:val="887"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94">
    <w:name w:val="Heading 7"/>
    <w:basedOn w:val="887"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95">
    <w:name w:val="Heading 8"/>
    <w:basedOn w:val="887"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96">
    <w:name w:val="Heading 9"/>
    <w:basedOn w:val="887"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97">
    <w:name w:val="Интернет-ссылка"/>
    <w:rPr>
      <w:color w:val="0000FF"/>
      <w:u w:val="single"/>
    </w:rPr>
  </w:style>
  <w:style w:type="character" w:styleId="898">
    <w:name w:val="Привязка сноски"/>
    <w:rPr>
      <w:vertAlign w:val="superscript"/>
    </w:rPr>
  </w:style>
  <w:style w:type="character" w:styleId="899">
    <w:name w:val="Footnote Characters"/>
    <w:basedOn w:val="920"/>
    <w:qFormat/>
    <w:rPr>
      <w:vertAlign w:val="superscript"/>
    </w:rPr>
  </w:style>
  <w:style w:type="character" w:styleId="900">
    <w:name w:val="Привязка концевой сноски"/>
    <w:rPr>
      <w:vertAlign w:val="superscript"/>
    </w:rPr>
  </w:style>
  <w:style w:type="character" w:styleId="901">
    <w:name w:val="Endnote Characters"/>
    <w:basedOn w:val="920"/>
    <w:qFormat/>
    <w:rPr>
      <w:vertAlign w:val="superscript"/>
    </w:rPr>
  </w:style>
  <w:style w:type="character" w:styleId="902">
    <w:name w:val="Heading 1 Char"/>
    <w:basedOn w:val="920"/>
    <w:qFormat/>
    <w:rPr>
      <w:rFonts w:ascii="Arial" w:hAnsi="Arial" w:cs="Arial" w:eastAsia="Arial"/>
      <w:sz w:val="40"/>
      <w:szCs w:val="40"/>
    </w:rPr>
  </w:style>
  <w:style w:type="character" w:styleId="903">
    <w:name w:val="Heading 2 Char"/>
    <w:basedOn w:val="920"/>
    <w:qFormat/>
    <w:rPr>
      <w:rFonts w:ascii="Arial" w:hAnsi="Arial" w:cs="Arial" w:eastAsia="Arial"/>
      <w:sz w:val="34"/>
    </w:rPr>
  </w:style>
  <w:style w:type="character" w:styleId="904">
    <w:name w:val="Heading 3 Char"/>
    <w:basedOn w:val="920"/>
    <w:qFormat/>
    <w:rPr>
      <w:rFonts w:ascii="Arial" w:hAnsi="Arial" w:cs="Arial" w:eastAsia="Arial"/>
      <w:sz w:val="30"/>
      <w:szCs w:val="30"/>
    </w:rPr>
  </w:style>
  <w:style w:type="character" w:styleId="905">
    <w:name w:val="Heading 4 Char"/>
    <w:basedOn w:val="920"/>
    <w:qFormat/>
    <w:rPr>
      <w:rFonts w:ascii="Arial" w:hAnsi="Arial" w:cs="Arial" w:eastAsia="Arial"/>
      <w:b/>
      <w:bCs/>
      <w:sz w:val="26"/>
      <w:szCs w:val="26"/>
    </w:rPr>
  </w:style>
  <w:style w:type="character" w:styleId="906">
    <w:name w:val="Heading 5 Char"/>
    <w:basedOn w:val="920"/>
    <w:qFormat/>
    <w:rPr>
      <w:rFonts w:ascii="Arial" w:hAnsi="Arial" w:cs="Arial" w:eastAsia="Arial"/>
      <w:b/>
      <w:bCs/>
      <w:sz w:val="24"/>
      <w:szCs w:val="24"/>
    </w:rPr>
  </w:style>
  <w:style w:type="character" w:styleId="907">
    <w:name w:val="Heading 6 Char"/>
    <w:basedOn w:val="920"/>
    <w:qFormat/>
    <w:rPr>
      <w:rFonts w:ascii="Arial" w:hAnsi="Arial" w:cs="Arial" w:eastAsia="Arial"/>
      <w:b/>
      <w:bCs/>
      <w:sz w:val="22"/>
      <w:szCs w:val="22"/>
    </w:rPr>
  </w:style>
  <w:style w:type="character" w:styleId="908">
    <w:name w:val="Heading 7 Char"/>
    <w:basedOn w:val="920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909">
    <w:name w:val="Heading 8 Char"/>
    <w:basedOn w:val="920"/>
    <w:qFormat/>
    <w:rPr>
      <w:rFonts w:ascii="Arial" w:hAnsi="Arial" w:cs="Arial" w:eastAsia="Arial"/>
      <w:i/>
      <w:iCs/>
      <w:sz w:val="22"/>
      <w:szCs w:val="22"/>
    </w:rPr>
  </w:style>
  <w:style w:type="character" w:styleId="910">
    <w:name w:val="Heading 9 Char"/>
    <w:basedOn w:val="920"/>
    <w:qFormat/>
    <w:rPr>
      <w:rFonts w:ascii="Arial" w:hAnsi="Arial" w:cs="Arial" w:eastAsia="Arial"/>
      <w:i/>
      <w:iCs/>
      <w:sz w:val="21"/>
      <w:szCs w:val="21"/>
    </w:rPr>
  </w:style>
  <w:style w:type="character" w:styleId="911">
    <w:name w:val="Title Char"/>
    <w:basedOn w:val="920"/>
    <w:qFormat/>
    <w:rPr>
      <w:sz w:val="48"/>
      <w:szCs w:val="48"/>
    </w:rPr>
  </w:style>
  <w:style w:type="character" w:styleId="912">
    <w:name w:val="Subtitle Char"/>
    <w:basedOn w:val="920"/>
    <w:qFormat/>
    <w:rPr>
      <w:sz w:val="24"/>
      <w:szCs w:val="24"/>
    </w:rPr>
  </w:style>
  <w:style w:type="character" w:styleId="913">
    <w:name w:val="Quote Char"/>
    <w:qFormat/>
    <w:rPr>
      <w:i/>
    </w:rPr>
  </w:style>
  <w:style w:type="character" w:styleId="914">
    <w:name w:val="Intense Quote Char"/>
    <w:qFormat/>
    <w:rPr>
      <w:i/>
    </w:rPr>
  </w:style>
  <w:style w:type="character" w:styleId="915">
    <w:name w:val="Header Char"/>
    <w:basedOn w:val="920"/>
    <w:qFormat/>
  </w:style>
  <w:style w:type="character" w:styleId="916">
    <w:name w:val="Footer Char"/>
    <w:basedOn w:val="920"/>
    <w:qFormat/>
  </w:style>
  <w:style w:type="character" w:styleId="917">
    <w:name w:val="Caption Char"/>
    <w:qFormat/>
  </w:style>
  <w:style w:type="character" w:styleId="918">
    <w:name w:val="Footnote Text Char"/>
    <w:qFormat/>
    <w:rPr>
      <w:sz w:val="18"/>
    </w:rPr>
  </w:style>
  <w:style w:type="character" w:styleId="919">
    <w:name w:val="Endnote Text Char"/>
    <w:qFormat/>
    <w:rPr>
      <w:sz w:val="20"/>
    </w:rPr>
  </w:style>
  <w:style w:type="character" w:styleId="920" w:default="1">
    <w:name w:val="Default Paragraph Font"/>
    <w:qFormat/>
  </w:style>
  <w:style w:type="character" w:styleId="921">
    <w:name w:val="Мой обычный Знак"/>
    <w:qFormat/>
    <w:rPr>
      <w:rFonts w:ascii="Times New Roman" w:hAnsi="Times New Roman"/>
      <w:b w:val="0"/>
      <w:i w:val="0"/>
      <w:sz w:val="28"/>
      <w:szCs w:val="24"/>
    </w:rPr>
  </w:style>
  <w:style w:type="character" w:styleId="922">
    <w:name w:val="Strong"/>
    <w:qFormat/>
    <w:rPr>
      <w:b/>
      <w:bCs/>
    </w:rPr>
  </w:style>
  <w:style w:type="character" w:styleId="923">
    <w:name w:val="Посещённая гиперссылка"/>
    <w:basedOn w:val="920"/>
    <w:rPr>
      <w:color w:val="954F72"/>
      <w:u w:val="single"/>
    </w:rPr>
  </w:style>
  <w:style w:type="character" w:styleId="924">
    <w:name w:val="Текст выноски Знак"/>
    <w:basedOn w:val="920"/>
    <w:qFormat/>
    <w:rPr>
      <w:rFonts w:ascii="Tahoma" w:hAnsi="Tahoma" w:cs="Tahoma"/>
      <w:sz w:val="16"/>
      <w:szCs w:val="16"/>
    </w:rPr>
  </w:style>
  <w:style w:type="character" w:styleId="925">
    <w:name w:val="annotation reference"/>
    <w:basedOn w:val="920"/>
    <w:qFormat/>
    <w:rPr>
      <w:sz w:val="16"/>
      <w:szCs w:val="16"/>
    </w:rPr>
  </w:style>
  <w:style w:type="character" w:styleId="926">
    <w:name w:val="Текст примечания Знак"/>
    <w:basedOn w:val="920"/>
    <w:qFormat/>
    <w:rPr>
      <w:sz w:val="20"/>
      <w:szCs w:val="20"/>
    </w:rPr>
  </w:style>
  <w:style w:type="character" w:styleId="927">
    <w:name w:val="Тема примечания Знак"/>
    <w:basedOn w:val="926"/>
    <w:qFormat/>
    <w:rPr>
      <w:b/>
      <w:bCs/>
      <w:sz w:val="20"/>
      <w:szCs w:val="20"/>
    </w:rPr>
  </w:style>
  <w:style w:type="character" w:styleId="928">
    <w:name w:val="Выделение"/>
    <w:qFormat/>
    <w:rPr>
      <w:i/>
      <w:iCs/>
    </w:rPr>
  </w:style>
  <w:style w:type="character" w:styleId="929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930">
    <w:name w:val="WW8Num9z1"/>
    <w:qFormat/>
  </w:style>
  <w:style w:type="character" w:styleId="931">
    <w:name w:val="Символ нумерации"/>
    <w:qFormat/>
  </w:style>
  <w:style w:type="character" w:styleId="932">
    <w:name w:val="Выделение жирным"/>
    <w:qFormat/>
    <w:rPr>
      <w:b/>
      <w:bCs/>
    </w:rPr>
  </w:style>
  <w:style w:type="character" w:styleId="933">
    <w:name w:val="Маркеры"/>
    <w:qFormat/>
    <w:rPr>
      <w:rFonts w:ascii="OpenSymbol" w:hAnsi="OpenSymbol" w:cs="OpenSymbol" w:eastAsia="OpenSymbol"/>
    </w:rPr>
  </w:style>
  <w:style w:type="paragraph" w:styleId="934">
    <w:name w:val="Заголовок"/>
    <w:basedOn w:val="887"/>
    <w:next w:val="935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935">
    <w:name w:val="Body Text"/>
    <w:basedOn w:val="887"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</w:style>
  <w:style w:type="paragraph" w:styleId="936">
    <w:name w:val="List"/>
    <w:basedOn w:val="935"/>
    <w:rPr>
      <w:rFonts w:cs="Noto Sans Devanagari"/>
    </w:rPr>
  </w:style>
  <w:style w:type="paragraph" w:styleId="937">
    <w:name w:val="Caption"/>
    <w:basedOn w:val="887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938">
    <w:name w:val="Указатель"/>
    <w:basedOn w:val="887"/>
    <w:qFormat/>
    <w:pPr>
      <w:suppressLineNumbers/>
    </w:pPr>
    <w:rPr>
      <w:rFonts w:cs="Noto Sans Devanagari"/>
    </w:rPr>
  </w:style>
  <w:style w:type="paragraph" w:styleId="939">
    <w:name w:val="List Paragraph"/>
    <w:basedOn w:val="887"/>
    <w:qFormat/>
    <w:pPr>
      <w:contextualSpacing/>
      <w:ind w:left="720" w:right="0" w:firstLine="0"/>
      <w:spacing w:before="0" w:after="160"/>
    </w:pPr>
  </w:style>
  <w:style w:type="paragraph" w:styleId="940">
    <w:name w:val="No Spacing"/>
    <w:qFormat/>
    <w:pPr>
      <w:jc w:val="left"/>
      <w:spacing w:before="0" w:after="0" w:line="240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941">
    <w:name w:val="Title"/>
    <w:basedOn w:val="887"/>
    <w:qFormat/>
    <w:pPr>
      <w:contextualSpacing/>
      <w:spacing w:before="300" w:after="200"/>
    </w:pPr>
    <w:rPr>
      <w:sz w:val="48"/>
      <w:szCs w:val="48"/>
    </w:rPr>
  </w:style>
  <w:style w:type="paragraph" w:styleId="942">
    <w:name w:val="Subtitle"/>
    <w:basedOn w:val="887"/>
    <w:qFormat/>
    <w:pPr>
      <w:spacing w:before="200" w:after="200"/>
    </w:pPr>
    <w:rPr>
      <w:sz w:val="24"/>
      <w:szCs w:val="24"/>
    </w:rPr>
  </w:style>
  <w:style w:type="paragraph" w:styleId="943">
    <w:name w:val="Quote"/>
    <w:basedOn w:val="887"/>
    <w:qFormat/>
    <w:pPr>
      <w:ind w:left="720" w:right="720" w:firstLine="0"/>
    </w:pPr>
    <w:rPr>
      <w:i/>
    </w:rPr>
  </w:style>
  <w:style w:type="paragraph" w:styleId="944">
    <w:name w:val="Intense Quote"/>
    <w:basedOn w:val="887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45">
    <w:name w:val="Колонтитул"/>
    <w:basedOn w:val="887"/>
    <w:qFormat/>
  </w:style>
  <w:style w:type="paragraph" w:styleId="946">
    <w:name w:val="Header"/>
    <w:basedOn w:val="88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47">
    <w:name w:val="Footer"/>
    <w:basedOn w:val="88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48">
    <w:name w:val="footnote text"/>
    <w:basedOn w:val="887"/>
    <w:pPr>
      <w:spacing w:before="0" w:after="40" w:line="240" w:lineRule="auto"/>
    </w:pPr>
    <w:rPr>
      <w:sz w:val="18"/>
    </w:rPr>
  </w:style>
  <w:style w:type="paragraph" w:styleId="949">
    <w:name w:val="endnote text"/>
    <w:basedOn w:val="887"/>
    <w:pPr>
      <w:spacing w:before="0" w:after="0" w:line="240" w:lineRule="auto"/>
    </w:pPr>
    <w:rPr>
      <w:sz w:val="20"/>
    </w:rPr>
  </w:style>
  <w:style w:type="paragraph" w:styleId="950">
    <w:name w:val="toc 1"/>
    <w:basedOn w:val="887"/>
    <w:pPr>
      <w:ind w:left="0" w:right="0" w:firstLine="0"/>
      <w:spacing w:before="0" w:after="57"/>
    </w:pPr>
  </w:style>
  <w:style w:type="paragraph" w:styleId="951">
    <w:name w:val="toc 2"/>
    <w:basedOn w:val="887"/>
    <w:pPr>
      <w:ind w:left="283" w:right="0" w:firstLine="0"/>
      <w:spacing w:before="0" w:after="57"/>
    </w:pPr>
  </w:style>
  <w:style w:type="paragraph" w:styleId="952">
    <w:name w:val="toc 3"/>
    <w:basedOn w:val="887"/>
    <w:pPr>
      <w:ind w:left="567" w:right="0" w:firstLine="0"/>
      <w:spacing w:before="0" w:after="57"/>
    </w:pPr>
  </w:style>
  <w:style w:type="paragraph" w:styleId="953">
    <w:name w:val="toc 4"/>
    <w:basedOn w:val="887"/>
    <w:pPr>
      <w:ind w:left="850" w:right="0" w:firstLine="0"/>
      <w:spacing w:before="0" w:after="57"/>
    </w:pPr>
  </w:style>
  <w:style w:type="paragraph" w:styleId="954">
    <w:name w:val="toc 5"/>
    <w:basedOn w:val="887"/>
    <w:pPr>
      <w:ind w:left="1134" w:right="0" w:firstLine="0"/>
      <w:spacing w:before="0" w:after="57"/>
    </w:pPr>
  </w:style>
  <w:style w:type="paragraph" w:styleId="955">
    <w:name w:val="toc 6"/>
    <w:basedOn w:val="887"/>
    <w:pPr>
      <w:ind w:left="1417" w:right="0" w:firstLine="0"/>
      <w:spacing w:before="0" w:after="57"/>
    </w:pPr>
  </w:style>
  <w:style w:type="paragraph" w:styleId="956">
    <w:name w:val="toc 7"/>
    <w:basedOn w:val="887"/>
    <w:pPr>
      <w:ind w:left="1701" w:right="0" w:firstLine="0"/>
      <w:spacing w:before="0" w:after="57"/>
    </w:pPr>
  </w:style>
  <w:style w:type="paragraph" w:styleId="957">
    <w:name w:val="toc 8"/>
    <w:basedOn w:val="887"/>
    <w:pPr>
      <w:ind w:left="1984" w:right="0" w:firstLine="0"/>
      <w:spacing w:before="0" w:after="57"/>
    </w:pPr>
  </w:style>
  <w:style w:type="paragraph" w:styleId="958">
    <w:name w:val="toc 9"/>
    <w:basedOn w:val="887"/>
    <w:pPr>
      <w:ind w:left="2268" w:right="0" w:firstLine="0"/>
      <w:spacing w:before="0" w:after="57"/>
    </w:pPr>
  </w:style>
  <w:style w:type="paragraph" w:styleId="959">
    <w:name w:val="TOC Heading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960">
    <w:name w:val="table of figures"/>
    <w:basedOn w:val="887"/>
    <w:qFormat/>
    <w:pPr>
      <w:spacing w:before="0" w:after="0"/>
    </w:pPr>
  </w:style>
  <w:style w:type="paragraph" w:styleId="961">
    <w:name w:val="Мой обычный"/>
    <w:basedOn w:val="887"/>
    <w:qFormat/>
    <w:pPr>
      <w:ind w:left="0" w:right="0" w:firstLine="709"/>
      <w:jc w:val="both"/>
      <w:spacing w:before="0" w:after="0" w:line="360" w:lineRule="auto"/>
      <w:tabs>
        <w:tab w:val="clear" w:pos="708" w:leader="none"/>
        <w:tab w:val="left" w:pos="993" w:leader="none"/>
      </w:tabs>
    </w:pPr>
    <w:rPr>
      <w:rFonts w:ascii="Times New Roman" w:hAnsi="Times New Roman"/>
      <w:b w:val="0"/>
      <w:i w:val="0"/>
      <w:sz w:val="28"/>
      <w:szCs w:val="24"/>
    </w:rPr>
  </w:style>
  <w:style w:type="paragraph" w:styleId="962">
    <w:name w:val="Balloon Text"/>
    <w:basedOn w:val="887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63">
    <w:name w:val="annotation text"/>
    <w:basedOn w:val="887"/>
    <w:qFormat/>
    <w:pPr>
      <w:spacing w:line="240" w:lineRule="auto"/>
    </w:pPr>
    <w:rPr>
      <w:sz w:val="20"/>
      <w:szCs w:val="20"/>
    </w:rPr>
  </w:style>
  <w:style w:type="paragraph" w:styleId="964">
    <w:name w:val="annotation subject"/>
    <w:basedOn w:val="963"/>
    <w:qFormat/>
    <w:rPr>
      <w:b/>
      <w:bCs/>
    </w:rPr>
  </w:style>
  <w:style w:type="paragraph" w:styleId="965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966">
    <w:name w:val="Table Paragraph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967">
    <w:name w:val="Абзац списка"/>
    <w:qFormat/>
    <w:pPr>
      <w:ind w:left="462" w:right="0" w:hanging="36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968">
    <w:name w:val="Обычный (веб)"/>
    <w:basedOn w:val="887"/>
    <w:qFormat/>
    <w:pPr>
      <w:spacing w:before="280" w:after="280"/>
    </w:pPr>
  </w:style>
  <w:style w:type="paragraph" w:styleId="969">
    <w:name w:val="НУМ_СПИСОК"/>
    <w:qFormat/>
    <w:pPr>
      <w:numPr>
        <w:ilvl w:val="0"/>
        <w:numId w:val="1"/>
      </w:numPr>
      <w:jc w:val="both"/>
      <w:keepLines/>
      <w:spacing w:before="0" w:after="160" w:line="259" w:lineRule="auto"/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</w:style>
  <w:style w:type="paragraph" w:styleId="970">
    <w:name w:val="Содержимое таблицы"/>
    <w:basedOn w:val="887"/>
    <w:qFormat/>
    <w:pPr>
      <w:widowControl w:val="off"/>
      <w:suppressLineNumbers/>
    </w:pPr>
  </w:style>
  <w:style w:type="paragraph" w:styleId="971">
    <w:name w:val="Заголовок таблицы"/>
    <w:basedOn w:val="970"/>
    <w:qFormat/>
    <w:pPr>
      <w:jc w:val="center"/>
      <w:suppressLineNumbers/>
    </w:pPr>
    <w:rPr>
      <w:b/>
      <w:bCs/>
    </w:rPr>
  </w:style>
  <w:style w:type="numbering" w:styleId="972" w:default="1">
    <w:name w:val="No List"/>
    <w:qFormat/>
  </w:style>
  <w:style w:type="numbering" w:styleId="973">
    <w:name w:val="WW8Num9"/>
    <w:qFormat/>
  </w:style>
  <w:style w:type="table" w:styleId="974" w:default="1">
    <w:name w:val="Normal Table"/>
    <w:uiPriority w:val="99"/>
    <w:semiHidden/>
    <w:unhideWhenUsed/>
    <w:tblPr/>
  </w:style>
  <w:style w:type="paragraph" w:styleId="975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97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36</cp:revision>
  <dcterms:created xsi:type="dcterms:W3CDTF">2021-02-06T12:59:00Z</dcterms:created>
  <dcterms:modified xsi:type="dcterms:W3CDTF">2022-05-06T12:39:40Z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